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40003" w:rsidRDefault="00C40003" w:rsidP="00C40003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eastAsia="仿宋" w:hAnsi="仿宋" w:cs="仿宋" w:hint="eastAsia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b/>
          <w:bCs/>
          <w:sz w:val="36"/>
          <w:szCs w:val="36"/>
        </w:rPr>
        <w:t>报价清单</w:t>
      </w:r>
    </w:p>
    <w:tbl>
      <w:tblPr>
        <w:tblW w:w="855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756"/>
        <w:gridCol w:w="1170"/>
        <w:gridCol w:w="1582"/>
        <w:gridCol w:w="1688"/>
        <w:gridCol w:w="765"/>
        <w:gridCol w:w="840"/>
        <w:gridCol w:w="825"/>
        <w:gridCol w:w="930"/>
      </w:tblGrid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工艺特性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规格尺寸（工程量计算式）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金额（元）</w:t>
            </w: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现展览拆除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展托、展板、电气管线等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拆除和垃圾清运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局部基础改造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含展柜门改造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玻璃清洗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1号柜、2号柜柜面玻璃清洗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6000*2700+9000*2700=40.5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40.5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造型天棚灯箱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基础钢架拆除、安装+软膜喷绘拆除安装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直径3200*3.14=10.05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地面布线（展柜插座）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2.5截面电线+金属压条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天棚布线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2.5截面电线+15PVC套管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墙面乳胶漆修补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柜体下面的锤纹漆修补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center"/>
              <w:rPr>
                <w:rFonts w:ascii="Arial" w:hAnsi="Arial" w:cs="Arial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浮雕墙面喷绘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裱糊在石膏板墙面上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7000*3000*2=42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柜内展板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18厘雪弗板+进口宣绒布喷绘安装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15000*1200=18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柜内展板喷绘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裱糊在18厘雪佛兰板上+安装金属边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19000*1200=22.8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22.8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二级展托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15厘奥松板基层、包布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考古发掘沙盘模型---（11号马面宋代、明代）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沙盘基础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850*1300=1.1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沙盘地质、人物塑型、植入文物残片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艺术渲染</w:t>
            </w: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入口展板布置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18厘雪弗板+喷绘安装+金属边框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3800*2200+（1200*1500*2）=12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文物支架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金属支架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亚克力支架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包布支架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件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竹简试管支架底盘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广告机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移动安装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含文件拷贝、调试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文物说明牌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130件文物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配合布展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技术人工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工日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宣传画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包括户外喷绘及安装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㎡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整体保洁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jc w:val="left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工日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C40003" w:rsidTr="004166C5">
        <w:trPr>
          <w:trHeight w:val="720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6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003" w:rsidRDefault="00C40003" w:rsidP="004166C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</w:tr>
    </w:tbl>
    <w:p w:rsidR="00C40003" w:rsidRDefault="00C40003" w:rsidP="00C40003">
      <w:pPr>
        <w:autoSpaceDE w:val="0"/>
        <w:autoSpaceDN w:val="0"/>
        <w:adjustRightInd w:val="0"/>
        <w:spacing w:line="360" w:lineRule="auto"/>
        <w:outlineLvl w:val="1"/>
        <w:rPr>
          <w:rFonts w:ascii="仿宋" w:eastAsia="仿宋" w:hAnsi="仿宋" w:cs="仿宋" w:hint="eastAsia"/>
          <w:b/>
          <w:bCs/>
          <w:sz w:val="24"/>
        </w:rPr>
      </w:pPr>
    </w:p>
    <w:p w:rsidR="00C40003" w:rsidRDefault="00C40003" w:rsidP="00C40003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 w:hint="eastAsia"/>
          <w:b/>
          <w:bCs/>
          <w:sz w:val="36"/>
          <w:szCs w:val="36"/>
        </w:rPr>
      </w:pPr>
    </w:p>
    <w:p w:rsidR="00C40003" w:rsidRDefault="00C40003" w:rsidP="00C40003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 w:hint="eastAsia"/>
          <w:b/>
          <w:bCs/>
          <w:sz w:val="36"/>
          <w:szCs w:val="36"/>
        </w:rPr>
      </w:pPr>
    </w:p>
    <w:p w:rsidR="00C40003" w:rsidRDefault="00C40003" w:rsidP="00C40003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hAnsi="宋体" w:hint="eastAsia"/>
          <w:b/>
          <w:bCs/>
          <w:sz w:val="36"/>
          <w:szCs w:val="36"/>
        </w:rPr>
      </w:pPr>
    </w:p>
    <w:p w:rsidR="00C40003" w:rsidRDefault="00C40003"/>
    <w:sectPr w:rsidR="00C40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A1"/>
    <w:family w:val="swiss"/>
    <w:pitch w:val="variable"/>
    <w:sig w:usb0="E0000EFF" w:usb1="0000785B" w:usb2="0000000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B507A2F"/>
    <w:multiLevelType w:val="singleLevel"/>
    <w:tmpl w:val="CB507A2F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4234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03"/>
    <w:rsid w:val="00436B67"/>
    <w:rsid w:val="00C4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0EF78-9833-4081-BE9C-1A3B2BF5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03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0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00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00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00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0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0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0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00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00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00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00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0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00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00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00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张</dc:creator>
  <cp:keywords/>
  <dc:description/>
  <cp:lastModifiedBy>波 张</cp:lastModifiedBy>
  <cp:revision>1</cp:revision>
  <dcterms:created xsi:type="dcterms:W3CDTF">2025-03-27T08:01:00Z</dcterms:created>
  <dcterms:modified xsi:type="dcterms:W3CDTF">2025-03-27T08:01:00Z</dcterms:modified>
</cp:coreProperties>
</file>